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both"/>
      </w:pPr>
      <w:bookmarkStart w:id="0" w:name="_GoBack"/>
      <w:bookmarkEnd w:id="0"/>
      <w:r>
        <w:rPr>
          <w:rFonts w:hint="default" w:ascii="方正小标宋简体" w:hAnsi="方正小标宋简体" w:eastAsia="方正小标宋简体" w:cs="方正小标宋简体"/>
          <w:color w:val="333333"/>
          <w:kern w:val="0"/>
          <w:sz w:val="40"/>
          <w:szCs w:val="40"/>
          <w:shd w:val="clear" w:fill="FFFFFF"/>
          <w:lang w:val="en-US" w:eastAsia="zh-CN" w:bidi="ar"/>
        </w:rPr>
        <w:t>福建省药品阳光采购非竞争组药品年审制度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93" w:beforeAutospacing="0" w:after="0" w:afterAutospacing="0" w:line="330" w:lineRule="atLeast"/>
        <w:ind w:left="0" w:right="0"/>
        <w:jc w:val="left"/>
        <w:rPr>
          <w:sz w:val="20"/>
          <w:szCs w:val="22"/>
        </w:rPr>
      </w:pPr>
      <w:r>
        <w:rPr>
          <w:rFonts w:hint="eastAsia" w:ascii="仿宋" w:hAnsi="仿宋" w:eastAsia="仿宋" w:cs="仿宋"/>
          <w:color w:val="333333"/>
          <w:kern w:val="0"/>
          <w:sz w:val="28"/>
          <w:szCs w:val="28"/>
          <w:shd w:val="clear" w:fill="FFFFFF"/>
          <w:lang w:val="en-US" w:eastAsia="zh-CN" w:bidi="ar"/>
        </w:rPr>
        <w:t>    为确保我省药品阳光采购政策准确执行，根据《福建省医疗保障管理委员会办公室关于开展以医保支付结算价为基础的药品联合限价阳光采购工作的通知》(闽医保办〔2017〕16号)及国家药品监管部门等公布的相关文件信息，省药械联合采购中心（以下简称采购中心）制定药品阳光采购部分类别非竞争组药品年审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ascii="方正楷体简体" w:hAnsi="方正楷体简体" w:eastAsia="方正楷体简体" w:cs="方正楷体简体"/>
          <w:color w:val="333333"/>
          <w:kern w:val="0"/>
          <w:sz w:val="28"/>
          <w:szCs w:val="28"/>
          <w:shd w:val="clear" w:fill="FFFFFF"/>
          <w:lang w:val="en-US" w:eastAsia="zh-CN" w:bidi="ar"/>
        </w:rPr>
        <w:t>（一）年审范围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both"/>
        <w:rPr>
          <w:sz w:val="22"/>
          <w:szCs w:val="22"/>
        </w:rPr>
      </w:pPr>
      <w:r>
        <w:rPr>
          <w:rFonts w:hint="eastAsia" w:ascii="仿宋" w:hAnsi="仿宋" w:eastAsia="仿宋" w:cs="仿宋"/>
          <w:color w:val="333333"/>
          <w:sz w:val="28"/>
          <w:szCs w:val="28"/>
          <w:shd w:val="clear" w:fill="FFFFFF"/>
        </w:rPr>
        <w:t>1.申报境外制药公司全球首家研发上市，由其在境内有隶属关系（独资或控股合资）制药企业生产的原研药品。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2.申报境外制药公司全球首家研发上市，原料进口至境内，授权专利由非隶属关系境内制药企业生产的原研药品。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3.通过FDA认证药品。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4.其他需纳入年审范围的药品。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default" w:ascii="方正楷体简体" w:hAnsi="方正楷体简体" w:eastAsia="方正楷体简体" w:cs="方正楷体简体"/>
          <w:color w:val="333333"/>
          <w:kern w:val="0"/>
          <w:sz w:val="28"/>
          <w:szCs w:val="28"/>
          <w:shd w:val="clear" w:fill="FFFFFF"/>
          <w:lang w:val="en-US" w:eastAsia="zh-CN" w:bidi="ar"/>
        </w:rPr>
        <w:t>（二）年审时间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采购中心于每年度第三季度开展集中审核工作，具体开展时间另行公告。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default" w:ascii="方正楷体简体" w:hAnsi="方正楷体简体" w:eastAsia="方正楷体简体" w:cs="方正楷体简体"/>
          <w:color w:val="333333"/>
          <w:kern w:val="0"/>
          <w:sz w:val="28"/>
          <w:szCs w:val="28"/>
          <w:shd w:val="clear" w:fill="FFFFFF"/>
          <w:lang w:val="en-US" w:eastAsia="zh-CN" w:bidi="ar"/>
        </w:rPr>
        <w:t xml:space="preserve">（三）填报要求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1.登陆福建省药械联合限价阳光采购平台，进入产品基础资料填报模块，根据下表要求在原研属性（需对应类别）、FDA属性项目下补充更新相关材料，点击“确认提交年审材料”，并“保存”上传（材料无需补充更新的，也需进行上述提交与保存操作）。</w:t>
      </w:r>
    </w:p>
    <w:tbl>
      <w:tblPr>
        <w:tblStyle w:val="5"/>
        <w:tblW w:w="0" w:type="auto"/>
        <w:jc w:val="center"/>
        <w:shd w:val="clear" w:color="auto" w:fill="auto"/>
        <w:tblLayout w:type="autofit"/>
        <w:tblCellMar>
          <w:top w:w="15" w:type="dxa"/>
          <w:left w:w="15" w:type="dxa"/>
          <w:bottom w:w="15" w:type="dxa"/>
          <w:right w:w="15" w:type="dxa"/>
        </w:tblCellMar>
      </w:tblPr>
      <w:tblGrid>
        <w:gridCol w:w="790"/>
        <w:gridCol w:w="1020"/>
        <w:gridCol w:w="1906"/>
        <w:gridCol w:w="4620"/>
      </w:tblGrid>
      <w:tr>
        <w:tblPrEx>
          <w:shd w:val="clear" w:color="auto" w:fill="auto"/>
          <w:tblCellMar>
            <w:top w:w="15" w:type="dxa"/>
            <w:left w:w="15" w:type="dxa"/>
            <w:bottom w:w="15" w:type="dxa"/>
            <w:right w:w="15" w:type="dxa"/>
          </w:tblCellMar>
        </w:tblPrEx>
        <w:trPr>
          <w:trHeight w:val="600" w:hRule="atLeast"/>
          <w:jc w:val="center"/>
        </w:trPr>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ascii="楷体" w:hAnsi="楷体" w:eastAsia="楷体" w:cs="楷体"/>
                <w:color w:val="333333"/>
                <w:kern w:val="0"/>
                <w:sz w:val="24"/>
                <w:szCs w:val="24"/>
                <w:lang w:val="en-US" w:eastAsia="zh-CN" w:bidi="ar"/>
              </w:rPr>
              <w:t>序号</w:t>
            </w:r>
          </w:p>
        </w:tc>
        <w:tc>
          <w:tcPr>
            <w:tcW w:w="3119"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center"/>
              <w:textAlignment w:val="center"/>
            </w:pPr>
            <w:r>
              <w:rPr>
                <w:rFonts w:hint="eastAsia" w:ascii="楷体" w:hAnsi="楷体" w:eastAsia="楷体" w:cs="楷体"/>
                <w:color w:val="333333"/>
                <w:kern w:val="0"/>
                <w:sz w:val="24"/>
                <w:szCs w:val="24"/>
                <w:lang w:val="en-US" w:eastAsia="zh-CN" w:bidi="ar"/>
              </w:rPr>
              <w:t>类别</w:t>
            </w:r>
          </w:p>
        </w:tc>
        <w:tc>
          <w:tcPr>
            <w:tcW w:w="4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center"/>
              <w:textAlignment w:val="center"/>
            </w:pPr>
            <w:r>
              <w:rPr>
                <w:rFonts w:hint="eastAsia" w:ascii="楷体" w:hAnsi="楷体" w:eastAsia="楷体" w:cs="楷体"/>
                <w:color w:val="333333"/>
                <w:kern w:val="0"/>
                <w:sz w:val="24"/>
                <w:szCs w:val="24"/>
                <w:lang w:val="en-US" w:eastAsia="zh-CN" w:bidi="ar"/>
              </w:rPr>
              <w:t>要求提交材料</w:t>
            </w:r>
          </w:p>
        </w:tc>
      </w:tr>
      <w:tr>
        <w:tblPrEx>
          <w:tblCellMar>
            <w:top w:w="15" w:type="dxa"/>
            <w:left w:w="15" w:type="dxa"/>
            <w:bottom w:w="15" w:type="dxa"/>
            <w:right w:w="15" w:type="dxa"/>
          </w:tblCellMar>
        </w:tblPrEx>
        <w:trPr>
          <w:trHeight w:val="5580"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楷体" w:hAnsi="楷体" w:eastAsia="楷体" w:cs="楷体"/>
                <w:color w:val="333333"/>
                <w:kern w:val="0"/>
                <w:sz w:val="24"/>
                <w:szCs w:val="24"/>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楷体" w:hAnsi="楷体" w:eastAsia="楷体" w:cs="楷体"/>
                <w:color w:val="333333"/>
                <w:kern w:val="0"/>
                <w:sz w:val="24"/>
                <w:szCs w:val="24"/>
                <w:lang w:val="en-US" w:eastAsia="zh-CN" w:bidi="ar"/>
              </w:rPr>
              <w:t>原研药品</w:t>
            </w:r>
          </w:p>
        </w:tc>
        <w:tc>
          <w:tcPr>
            <w:tcW w:w="20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color w:val="333333"/>
                <w:kern w:val="0"/>
                <w:sz w:val="24"/>
                <w:szCs w:val="24"/>
                <w:lang w:val="en-US" w:eastAsia="zh-CN" w:bidi="ar"/>
              </w:rPr>
              <w:t>境外制药公司全球首家研发上市，由境内有隶属关系（独资或控股合资）制药企业进行生产的药品。</w:t>
            </w:r>
          </w:p>
        </w:tc>
        <w:tc>
          <w:tcPr>
            <w:tcW w:w="48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b/>
                <w:bCs/>
                <w:color w:val="333333"/>
                <w:kern w:val="0"/>
                <w:sz w:val="24"/>
                <w:szCs w:val="24"/>
                <w:lang w:val="en-US" w:eastAsia="zh-CN" w:bidi="ar"/>
              </w:rPr>
              <w:t>需提交以下1或2所列有效材料之一：</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1.①专利：必须拥有活性成分专利，包括化合物专利、天然药物提取物专利、微生物及其代谢物专利、至少某一有效成分为化合物专利的组合物专利</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②药品生产批件</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③隶属关系证明材料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i w:val="0"/>
                <w:iCs w:val="0"/>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楷体" w:hAnsi="楷体" w:eastAsia="楷体" w:cs="楷体"/>
                <w:i w:val="0"/>
                <w:iCs w:val="0"/>
                <w:color w:val="000000"/>
                <w:kern w:val="0"/>
                <w:sz w:val="24"/>
                <w:szCs w:val="24"/>
                <w:lang w:val="en-US" w:eastAsia="zh-CN" w:bidi="ar"/>
              </w:rPr>
              <w:t>2.参比制剂目录内备注为原研地产化等类型药品截图</w:t>
            </w:r>
          </w:p>
        </w:tc>
      </w:tr>
      <w:tr>
        <w:tblPrEx>
          <w:tblCellMar>
            <w:top w:w="15" w:type="dxa"/>
            <w:left w:w="15" w:type="dxa"/>
            <w:bottom w:w="15" w:type="dxa"/>
            <w:right w:w="15" w:type="dxa"/>
          </w:tblCellMar>
        </w:tblPrEx>
        <w:trPr>
          <w:trHeight w:val="3480" w:hRule="atLeast"/>
          <w:jc w:val="center"/>
        </w:trPr>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楷体" w:hAnsi="楷体" w:eastAsia="楷体" w:cs="楷体"/>
                <w:color w:val="333333"/>
                <w:kern w:val="0"/>
                <w:sz w:val="24"/>
                <w:szCs w:val="24"/>
                <w:lang w:val="en-US" w:eastAsia="zh-CN" w:bidi="ar"/>
              </w:rPr>
              <w:t>2</w:t>
            </w:r>
          </w:p>
        </w:tc>
        <w:tc>
          <w:tcPr>
            <w:tcW w:w="1080" w:type="dxa"/>
            <w:vMerge w:val="continue"/>
            <w:tcBorders>
              <w:top w:val="nil"/>
              <w:left w:val="nil"/>
              <w:bottom w:val="single" w:color="000000" w:sz="8" w:space="0"/>
              <w:right w:val="single" w:color="000000" w:sz="8" w:space="0"/>
            </w:tcBorders>
            <w:shd w:val="clear" w:color="auto" w:fill="auto"/>
            <w:vAlign w:val="center"/>
          </w:tcPr>
          <w:p>
            <w:pPr>
              <w:rPr>
                <w:rFonts w:hint="eastAsia" w:ascii="微软雅黑" w:hAnsi="微软雅黑" w:eastAsia="微软雅黑" w:cs="微软雅黑"/>
                <w:color w:val="333333"/>
                <w:sz w:val="21"/>
                <w:szCs w:val="21"/>
              </w:rPr>
            </w:pPr>
          </w:p>
        </w:tc>
        <w:tc>
          <w:tcPr>
            <w:tcW w:w="203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color w:val="333333"/>
                <w:kern w:val="0"/>
                <w:sz w:val="24"/>
                <w:szCs w:val="24"/>
                <w:lang w:val="en-US" w:eastAsia="zh-CN" w:bidi="ar"/>
              </w:rPr>
              <w:t>境外制药公司全球首家研发上市，原料进口至境内，授权专利由非隶属关系境内制药企业生产的药品。</w:t>
            </w:r>
          </w:p>
        </w:tc>
        <w:tc>
          <w:tcPr>
            <w:tcW w:w="48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b/>
                <w:bCs/>
                <w:color w:val="333333"/>
                <w:kern w:val="0"/>
                <w:sz w:val="24"/>
                <w:szCs w:val="24"/>
                <w:lang w:val="en-US" w:eastAsia="zh-CN" w:bidi="ar"/>
              </w:rPr>
              <w:t>需提交以下1或2所列有效材料之一：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i w:val="0"/>
                <w:iCs w:val="0"/>
                <w:color w:val="000000"/>
                <w:kern w:val="0"/>
                <w:sz w:val="24"/>
                <w:szCs w:val="24"/>
                <w:lang w:val="en-US" w:eastAsia="zh-CN" w:bidi="ar"/>
              </w:rPr>
              <w:t>①专利：必须拥有活性成分专利，包括化合物专利、天然药物提取物专利、微生物及其代谢物专利、至少某一有效成分为化合物专利的组合物专利</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②合约期内授权书（含授权、质量控制体系）</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③原料进口批件</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④使用原研企业原料药的最新批次佐证材料（原则上需提供近2年报关单及采购发票等）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i w:val="0"/>
                <w:iCs w:val="0"/>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i w:val="0"/>
                <w:iCs w:val="0"/>
                <w:color w:val="000000"/>
                <w:kern w:val="0"/>
                <w:sz w:val="24"/>
                <w:szCs w:val="24"/>
                <w:lang w:val="en-US" w:eastAsia="zh-CN" w:bidi="ar"/>
              </w:rPr>
              <w:t>2. 参比制剂目录内备注为原研地产化等类型药品截图</w:t>
            </w:r>
          </w:p>
        </w:tc>
      </w:tr>
      <w:tr>
        <w:tblPrEx>
          <w:tblCellMar>
            <w:top w:w="15" w:type="dxa"/>
            <w:left w:w="15" w:type="dxa"/>
            <w:bottom w:w="15" w:type="dxa"/>
            <w:right w:w="15" w:type="dxa"/>
          </w:tblCellMar>
        </w:tblPrEx>
        <w:trPr>
          <w:trHeight w:val="2280" w:hRule="atLeast"/>
          <w:jc w:val="center"/>
        </w:trPr>
        <w:tc>
          <w:tcPr>
            <w:tcW w:w="840" w:type="dxa"/>
            <w:tcBorders>
              <w:top w:val="nil"/>
              <w:left w:val="single" w:color="000000" w:sz="8" w:space="0"/>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pPr>
            <w:r>
              <w:rPr>
                <w:rFonts w:hint="eastAsia" w:ascii="楷体" w:hAnsi="楷体" w:eastAsia="楷体" w:cs="楷体"/>
                <w:color w:val="333333"/>
                <w:kern w:val="0"/>
                <w:sz w:val="24"/>
                <w:szCs w:val="24"/>
                <w:lang w:val="en-US" w:eastAsia="zh-CN" w:bidi="ar"/>
              </w:rPr>
              <w:t>3</w:t>
            </w:r>
          </w:p>
        </w:tc>
        <w:tc>
          <w:tcPr>
            <w:tcW w:w="1080"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color w:val="333333"/>
                <w:kern w:val="0"/>
                <w:sz w:val="24"/>
                <w:szCs w:val="24"/>
                <w:lang w:val="en-US" w:eastAsia="zh-CN" w:bidi="ar"/>
              </w:rPr>
              <w:t>通过FDA认证药品</w:t>
            </w:r>
          </w:p>
        </w:tc>
        <w:tc>
          <w:tcPr>
            <w:tcW w:w="2039"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color w:val="333333"/>
                <w:kern w:val="0"/>
                <w:sz w:val="24"/>
                <w:szCs w:val="24"/>
                <w:lang w:val="en-US" w:eastAsia="zh-CN" w:bidi="ar"/>
              </w:rPr>
              <w:t>申报药品在FDA官网的NDA或ANDA数据库注册且处于有效状态。</w:t>
            </w:r>
          </w:p>
        </w:tc>
        <w:tc>
          <w:tcPr>
            <w:tcW w:w="4875" w:type="dxa"/>
            <w:tcBorders>
              <w:top w:val="nil"/>
              <w:left w:val="nil"/>
              <w:bottom w:val="single" w:color="auto"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center"/>
            </w:pPr>
            <w:r>
              <w:rPr>
                <w:rFonts w:hint="eastAsia" w:ascii="楷体" w:hAnsi="楷体" w:eastAsia="楷体" w:cs="楷体"/>
                <w:i w:val="0"/>
                <w:iCs w:val="0"/>
                <w:color w:val="000000"/>
                <w:kern w:val="0"/>
                <w:sz w:val="24"/>
                <w:szCs w:val="24"/>
                <w:lang w:val="en-US" w:eastAsia="zh-CN" w:bidi="ar"/>
              </w:rPr>
              <w:t>1.FDA官网的NDA或ANDA数据库注册截图，且状态不处于“Discontinued”等间断或终止状态。</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2.出口欧美最新批次报关单及中文翻译（原则上需提供近2年内）</w:t>
            </w:r>
            <w:r>
              <w:rPr>
                <w:rFonts w:hint="eastAsia" w:ascii="楷体" w:hAnsi="楷体" w:eastAsia="楷体" w:cs="楷体"/>
                <w:i w:val="0"/>
                <w:iCs w:val="0"/>
                <w:color w:val="000000"/>
                <w:kern w:val="0"/>
                <w:sz w:val="24"/>
                <w:szCs w:val="24"/>
                <w:lang w:val="en-US" w:eastAsia="zh-CN" w:bidi="ar"/>
              </w:rPr>
              <w:br w:type="textWrapping"/>
            </w:r>
            <w:r>
              <w:rPr>
                <w:rFonts w:hint="eastAsia" w:ascii="楷体" w:hAnsi="楷体" w:eastAsia="楷体" w:cs="楷体"/>
                <w:i w:val="0"/>
                <w:iCs w:val="0"/>
                <w:color w:val="000000"/>
                <w:kern w:val="0"/>
                <w:sz w:val="24"/>
                <w:szCs w:val="24"/>
                <w:lang w:val="en-US" w:eastAsia="zh-CN" w:bidi="ar"/>
              </w:rPr>
              <w:t>3.共线生产且质量相同承诺函</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2.填报资料涉及与其他关联企业信息时，需对其中的关联情况予以说明；对相关协议、授权等证明材料未明确有效日期或已过有效日期的，需提交仍在有效期内的证明材料。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3.属参比制剂目录内药品，可在产品基础资料填报模块选择“参比制剂”类型。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4.在日常履约周期内，各相关企业对出现影响药品竞价分组动态变化的情况，须及时主动填报或更新药品申报资质相关信息。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spacing w:val="-6"/>
          <w:kern w:val="0"/>
          <w:sz w:val="28"/>
          <w:szCs w:val="28"/>
          <w:shd w:val="clear" w:fill="FFFFFF"/>
          <w:lang w:val="en-US" w:eastAsia="zh-CN" w:bidi="ar"/>
        </w:rPr>
        <w:t>5.企业应如实提供和填报信息材料，对弄虚作假、歪曲事实、恶意投诉的，一经查实，将根据《福建省医疗保障局关于建立医药价格和招采信用评价制度的通知》（闽医保</w:t>
      </w:r>
      <w:r>
        <w:rPr>
          <w:rFonts w:ascii="方正仿宋简体" w:hAnsi="方正仿宋简体" w:eastAsia="方正仿宋简体" w:cs="方正仿宋简体"/>
          <w:color w:val="333333"/>
          <w:spacing w:val="-6"/>
          <w:kern w:val="0"/>
          <w:sz w:val="28"/>
          <w:szCs w:val="28"/>
          <w:shd w:val="clear" w:fill="FFFFFF"/>
          <w:lang w:val="en-US" w:eastAsia="zh-CN" w:bidi="ar"/>
        </w:rPr>
        <w:t>〔</w:t>
      </w:r>
      <w:r>
        <w:rPr>
          <w:rFonts w:hint="default" w:ascii="方正仿宋简体" w:hAnsi="方正仿宋简体" w:eastAsia="方正仿宋简体" w:cs="方正仿宋简体"/>
          <w:color w:val="333333"/>
          <w:spacing w:val="-6"/>
          <w:kern w:val="0"/>
          <w:sz w:val="28"/>
          <w:szCs w:val="28"/>
          <w:shd w:val="clear" w:fill="FFFFFF"/>
          <w:lang w:val="en-US" w:eastAsia="zh-CN" w:bidi="ar"/>
        </w:rPr>
        <w:t>2021〕1号）</w:t>
      </w:r>
      <w:r>
        <w:rPr>
          <w:rFonts w:hint="eastAsia" w:ascii="仿宋" w:hAnsi="仿宋" w:eastAsia="仿宋" w:cs="仿宋"/>
          <w:color w:val="333333"/>
          <w:spacing w:val="-6"/>
          <w:kern w:val="0"/>
          <w:sz w:val="28"/>
          <w:szCs w:val="28"/>
          <w:shd w:val="clear" w:fill="FFFFFF"/>
          <w:lang w:val="en-US" w:eastAsia="zh-CN" w:bidi="ar"/>
        </w:rPr>
        <w:t>、《福建省医疗保障管理委员办公室关于印发福建省药品联合限价阳光采购药品供应履约管理办法的通知》（闽医保办</w:t>
      </w:r>
      <w:r>
        <w:rPr>
          <w:rFonts w:hint="default" w:ascii="方正仿宋简体" w:hAnsi="方正仿宋简体" w:eastAsia="方正仿宋简体" w:cs="方正仿宋简体"/>
          <w:color w:val="333333"/>
          <w:spacing w:val="-6"/>
          <w:kern w:val="0"/>
          <w:sz w:val="28"/>
          <w:szCs w:val="28"/>
          <w:shd w:val="clear" w:fill="FFFFFF"/>
          <w:lang w:val="en-US" w:eastAsia="zh-CN" w:bidi="ar"/>
        </w:rPr>
        <w:t>〔2017〕72号）</w:t>
      </w:r>
      <w:r>
        <w:rPr>
          <w:rFonts w:hint="eastAsia" w:ascii="仿宋" w:hAnsi="仿宋" w:eastAsia="仿宋" w:cs="仿宋"/>
          <w:color w:val="333333"/>
          <w:spacing w:val="-6"/>
          <w:kern w:val="0"/>
          <w:sz w:val="28"/>
          <w:szCs w:val="28"/>
          <w:shd w:val="clear" w:fill="FFFFFF"/>
          <w:lang w:val="en-US" w:eastAsia="zh-CN" w:bidi="ar"/>
        </w:rPr>
        <w:t xml:space="preserve">、《福建省药械阳光采购承诺书》等我省药品采购有关规定处理。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default" w:ascii="方正楷体简体" w:hAnsi="方正楷体简体" w:eastAsia="方正楷体简体" w:cs="方正楷体简体"/>
          <w:color w:val="333333"/>
          <w:kern w:val="0"/>
          <w:sz w:val="28"/>
          <w:szCs w:val="28"/>
          <w:shd w:val="clear" w:fill="FFFFFF"/>
          <w:lang w:val="en-US" w:eastAsia="zh-CN" w:bidi="ar"/>
        </w:rPr>
        <w:t>（四）年审结果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1.审核通过且经公示无异议的药品，确定保留非竞争组挂网。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2.审核通过但经公示有异议，经核查反映情况属实的药品，予以调整竞价分组至竞争组，并按竞争组规则调整最高销售限价及医保支付结算标准。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eastAsia" w:ascii="仿宋" w:hAnsi="仿宋" w:eastAsia="仿宋" w:cs="仿宋"/>
          <w:color w:val="333333"/>
          <w:kern w:val="0"/>
          <w:sz w:val="28"/>
          <w:szCs w:val="28"/>
          <w:shd w:val="clear" w:fill="FFFFFF"/>
          <w:lang w:val="en-US" w:eastAsia="zh-CN" w:bidi="ar"/>
        </w:rPr>
        <w:t>3.审核不通过的药品，企业须在规定时间内按要求提交补充材料，未予以补充或补充后再次审核不通过的，予以调整竞价分组至竞争组，并按竞争组规则调整最高销售限价及医保支付结算标准。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firstLine="623"/>
        <w:jc w:val="left"/>
        <w:rPr>
          <w:sz w:val="20"/>
          <w:szCs w:val="22"/>
        </w:rPr>
      </w:pPr>
      <w:r>
        <w:rPr>
          <w:rFonts w:hint="default" w:ascii="方正楷体简体" w:hAnsi="方正楷体简体" w:eastAsia="方正楷体简体" w:cs="方正楷体简体"/>
          <w:color w:val="333333"/>
          <w:kern w:val="0"/>
          <w:sz w:val="28"/>
          <w:szCs w:val="28"/>
          <w:shd w:val="clear" w:fill="FFFFFF"/>
          <w:lang w:val="en-US" w:eastAsia="zh-CN" w:bidi="ar"/>
        </w:rPr>
        <w:t>(五）年审流程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left"/>
        <w:rPr>
          <w:sz w:val="20"/>
          <w:szCs w:val="22"/>
        </w:rPr>
      </w:pPr>
      <w:r>
        <w:rPr>
          <w:rFonts w:hint="eastAsia" w:ascii="仿宋" w:hAnsi="仿宋" w:eastAsia="仿宋" w:cs="仿宋"/>
          <w:color w:val="333333"/>
          <w:kern w:val="0"/>
          <w:sz w:val="28"/>
          <w:szCs w:val="28"/>
          <w:shd w:val="clear" w:fill="FFFFFF"/>
          <w:lang w:val="en-US" w:eastAsia="zh-CN" w:bidi="ar"/>
        </w:rPr>
        <w:t>   年审相应流程原则上按下图流程执行：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center"/>
      </w:pPr>
      <w:r>
        <w:rPr>
          <w:rFonts w:hint="eastAsia" w:ascii="仿宋" w:hAnsi="仿宋" w:eastAsia="仿宋" w:cs="仿宋"/>
          <w:color w:val="333333"/>
          <w:kern w:val="0"/>
          <w:sz w:val="32"/>
          <w:szCs w:val="32"/>
          <w:shd w:val="clear" w:fill="FFFFFF"/>
          <w:lang w:val="en-US" w:eastAsia="zh-CN" w:bidi="ar"/>
        </w:rPr>
        <w:drawing>
          <wp:inline distT="0" distB="0" distL="114300" distR="114300">
            <wp:extent cx="5939790" cy="4220210"/>
            <wp:effectExtent l="0" t="0" r="381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939790" cy="422021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jc w:val="left"/>
      </w:pPr>
      <w:r>
        <w:rPr>
          <w:rFonts w:hint="eastAsia" w:ascii="微软雅黑" w:hAnsi="微软雅黑" w:eastAsia="微软雅黑" w:cs="微软雅黑"/>
          <w:color w:val="333333"/>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333FD"/>
    <w:rsid w:val="2300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left w:val="none" w:color="auto" w:sz="0" w:space="0"/>
      </w:pBdr>
      <w:spacing w:before="0" w:beforeAutospacing="1" w:after="0" w:afterAutospacing="1"/>
      <w:jc w:val="left"/>
    </w:pPr>
    <w:rPr>
      <w:rFonts w:hint="eastAsia" w:ascii="宋体" w:hAnsi="宋体" w:eastAsia="宋体" w:cs="宋体"/>
      <w:kern w:val="0"/>
      <w:sz w:val="21"/>
      <w:szCs w:val="21"/>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yperlink"/>
    <w:basedOn w:val="6"/>
    <w:uiPriority w:val="0"/>
    <w:rPr>
      <w:color w:val="333333"/>
      <w:u w:val="none"/>
    </w:rPr>
  </w:style>
  <w:style w:type="character" w:customStyle="1" w:styleId="10">
    <w:name w:val="bszn_icon3"/>
    <w:basedOn w:val="6"/>
    <w:uiPriority w:val="0"/>
  </w:style>
  <w:style w:type="character" w:customStyle="1" w:styleId="11">
    <w:name w:val="icon011"/>
    <w:basedOn w:val="6"/>
    <w:uiPriority w:val="0"/>
  </w:style>
  <w:style w:type="character" w:customStyle="1" w:styleId="12">
    <w:name w:val="icon06"/>
    <w:basedOn w:val="6"/>
    <w:uiPriority w:val="0"/>
  </w:style>
  <w:style w:type="character" w:customStyle="1" w:styleId="13">
    <w:name w:val="icon02"/>
    <w:basedOn w:val="6"/>
    <w:uiPriority w:val="0"/>
  </w:style>
  <w:style w:type="character" w:customStyle="1" w:styleId="14">
    <w:name w:val="icon03"/>
    <w:basedOn w:val="6"/>
    <w:uiPriority w:val="0"/>
  </w:style>
  <w:style w:type="character" w:customStyle="1" w:styleId="15">
    <w:name w:val="icon04"/>
    <w:basedOn w:val="6"/>
    <w:uiPriority w:val="0"/>
  </w:style>
  <w:style w:type="character" w:customStyle="1" w:styleId="16">
    <w:name w:val="icon05"/>
    <w:basedOn w:val="6"/>
    <w:uiPriority w:val="0"/>
  </w:style>
  <w:style w:type="character" w:customStyle="1" w:styleId="17">
    <w:name w:val="bszn_icon6"/>
    <w:basedOn w:val="6"/>
    <w:uiPriority w:val="0"/>
  </w:style>
  <w:style w:type="character" w:customStyle="1" w:styleId="18">
    <w:name w:val="bszn_icon1"/>
    <w:basedOn w:val="6"/>
    <w:uiPriority w:val="0"/>
  </w:style>
  <w:style w:type="character" w:customStyle="1" w:styleId="19">
    <w:name w:val="bszn_icon2"/>
    <w:basedOn w:val="6"/>
    <w:uiPriority w:val="0"/>
  </w:style>
  <w:style w:type="character" w:customStyle="1" w:styleId="20">
    <w:name w:val="blue"/>
    <w:basedOn w:val="6"/>
    <w:uiPriority w:val="0"/>
    <w:rPr>
      <w:color w:val="0066FF"/>
    </w:rPr>
  </w:style>
  <w:style w:type="character" w:customStyle="1" w:styleId="21">
    <w:name w:val="bszn_icon4"/>
    <w:basedOn w:val="6"/>
    <w:uiPriority w:val="0"/>
  </w:style>
  <w:style w:type="character" w:customStyle="1" w:styleId="22">
    <w:name w:val="bszn_icon5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2021-04-28T07:36:00Z</dcterms:created>
  <dc:creator>Administrator</dc:creator>
  <cp:lastModifiedBy>Administrator</cp:lastModifiedBy>
  <dcterms:modified xsi:type="dcterms:W3CDTF">2021-04-29T03:19:19Z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6D1B9DB452434DEFB8BC14E6B586C08A</vt:lpwstr>
  </property>
</Properties>
</file>